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การรับแจ้งการตายเกินกำหนด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  <w:br/>
        <w:t xml:space="preserve"/>
        <w:br/>
        <w:t xml:space="preserve">2. ระยะเวลาการแจ้ง ภายหลัง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 หรือ ที่ศพอยู่หรือมีการจัดการศพโดยการเก็บ ฝัง เผา หรือทำลาย)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การตรวจสอบหลักฐาน สอบสวนพยานบุคคล พยานแวดล้อม และรวบรวมหลักฐาน พร้อมความเห็นให้ 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(ที่ผู้ตายมีชื่ออยู่)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ตามแบบ ท.ร. 4/1 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(กรณีที่คนตายเข้ารับการรักษาก่อนตาย)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ผลตรวจสารพันธุกรรม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(ที่สามารถบ่งบอกตัวบุคคลของผู้ตาย)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 เลขที่ 1 ถ.พิษณุโลก เขตดุสิต กทม. 10300 / สายด่วน 1111 / www.๑๑๑๑.go.th / ตู้ ปณ 1111 เลขที่ 1 ถ.พิษณุโลก เขตดุสิต กทม. 10300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การรับแจ้งการตายเกินกำหนด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สำนักทะเบียนท้องถิ่นเทศบาลตำบลบ้านแท่น วิชาญ น้อยลา 17/08/2015 14:29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