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การแจ้งเคลื่อนย้ายอาคารตามมาตรา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สำเนาบัตรประชาชนและสำเนาทะเบียนบ้านของผู้มีอำนาจลงนามแทนนิติบุคคลผู้รับมอบอำนาจเจ้าของที่ดิน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(http://www.banthaen.go.th) </w:t>
              <w:br/>
              <w:t xml:space="preserve">2. ทางโทรศัพท์ (0-4488-7021  0-4488-7106</w:t>
              <w:br/>
              <w:t xml:space="preserve">3. ทาง ไปรษณีย์ (189 ม.3 เทศบาลตำบลบ้านแท่น อำเภอบ้านแท่น จังหวัดชัยภูมิ 36190)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ร้องเรียนต่อผู้ว่าราชการจังหวัดชัยภูมิ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ชัยภูมิ)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 เทศบาลตำบลบ้านแท่น วิชาญ น้อยลา 17/08/2015 11:05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