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ผู้ที่ประสงค์จะแก้ไขรายการเอกสารการทะเบียนราษฎร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การแก้ไขรายการ ซึ่งไม่ใช่รายการสัญชาติ ได้แก่</w:t>
        <w:br/>
        <w:t xml:space="preserve"/>
        <w:br/>
        <w:t xml:space="preserve">(1) นายทะเบียนอำเภอหรือนายทะเบียนท้องถิ่น เป็นกรณีมีหลักฐานเอกสารราชการมาแสดง</w:t>
        <w:br/>
        <w:t xml:space="preserve"/>
        <w:br/>
        <w:t xml:space="preserve">(2) นายอำเภอ เป็นกรณีไม่มีเอกสารราชการมาแสดง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ตรวจสอบหลักฐาน (ถ้ามี) สอบสวนเจ้าบ้าน พยานบุคคลที่น่าเชื่อถือ รวบรวมพร้อมความเห็นเสนอให้ นายทะเบียนอำเภอ 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หลักฐานที่ขอแก้ไข เช่น ทะเบียนบ้านฉบับเจ้าบ้าน สูติบัตร 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สำนักทะเบียนท้องถิ่นเทศบาลตำบลบ้านแท่น 04/09/2015 08:59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